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F30F" w14:textId="77777777" w:rsidR="00DD5A98" w:rsidRDefault="00DD5A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24A5966" w14:textId="77777777" w:rsidR="00DD5A98" w:rsidRDefault="00DD5A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5A98" w14:paraId="173B856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95462D7" w14:textId="77777777" w:rsidR="00DD5A98" w:rsidRDefault="00DD5A98">
            <w:pPr>
              <w:pStyle w:val="ConsPlusNormal"/>
            </w:pPr>
            <w:r>
              <w:t>1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560A233" w14:textId="77777777" w:rsidR="00DD5A98" w:rsidRDefault="00DD5A98">
            <w:pPr>
              <w:pStyle w:val="ConsPlusNormal"/>
              <w:jc w:val="right"/>
            </w:pPr>
            <w:r>
              <w:t>N 35-оз</w:t>
            </w:r>
          </w:p>
        </w:tc>
      </w:tr>
    </w:tbl>
    <w:p w14:paraId="61797218" w14:textId="77777777" w:rsidR="00DD5A98" w:rsidRDefault="00DD5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1AECF8" w14:textId="77777777" w:rsidR="00DD5A98" w:rsidRDefault="00DD5A98">
      <w:pPr>
        <w:pStyle w:val="ConsPlusNormal"/>
        <w:jc w:val="both"/>
      </w:pPr>
    </w:p>
    <w:p w14:paraId="2301AF4D" w14:textId="77777777" w:rsidR="00DD5A98" w:rsidRDefault="00DD5A98">
      <w:pPr>
        <w:pStyle w:val="ConsPlusTitle"/>
        <w:jc w:val="center"/>
      </w:pPr>
      <w:r>
        <w:t>ХАНТЫ-МАНСИЙСКИЙ АВТОНОМНЫЙ ОКРУГ - ЮГРА</w:t>
      </w:r>
    </w:p>
    <w:p w14:paraId="12AEE236" w14:textId="77777777" w:rsidR="00DD5A98" w:rsidRDefault="00DD5A98">
      <w:pPr>
        <w:pStyle w:val="ConsPlusTitle"/>
        <w:jc w:val="center"/>
      </w:pPr>
    </w:p>
    <w:p w14:paraId="5A28DECC" w14:textId="77777777" w:rsidR="00DD5A98" w:rsidRDefault="00DD5A98">
      <w:pPr>
        <w:pStyle w:val="ConsPlusTitle"/>
        <w:jc w:val="center"/>
      </w:pPr>
      <w:r>
        <w:t>ЗАКОН</w:t>
      </w:r>
    </w:p>
    <w:p w14:paraId="6CF82640" w14:textId="77777777" w:rsidR="00DD5A98" w:rsidRDefault="00DD5A98">
      <w:pPr>
        <w:pStyle w:val="ConsPlusTitle"/>
        <w:jc w:val="center"/>
      </w:pPr>
    </w:p>
    <w:p w14:paraId="06E065E8" w14:textId="77777777" w:rsidR="00DD5A98" w:rsidRDefault="00DD5A98">
      <w:pPr>
        <w:pStyle w:val="ConsPlusTitle"/>
        <w:jc w:val="center"/>
      </w:pPr>
      <w:r>
        <w:t>О ВНЕСЕНИИ ИЗМЕНЕНИЙ В ОТДЕЛЬНЫЕ ЗАКОНЫ ХАНТЫ-МАНСИЙСКОГО</w:t>
      </w:r>
    </w:p>
    <w:p w14:paraId="69B2241C" w14:textId="77777777" w:rsidR="00DD5A98" w:rsidRDefault="00DD5A98">
      <w:pPr>
        <w:pStyle w:val="ConsPlusTitle"/>
        <w:jc w:val="center"/>
      </w:pPr>
      <w:r>
        <w:t>АВТОНОМНОГО ОКРУГА - ЮГРЫ</w:t>
      </w:r>
    </w:p>
    <w:p w14:paraId="7220342A" w14:textId="77777777" w:rsidR="00DD5A98" w:rsidRDefault="00DD5A98">
      <w:pPr>
        <w:pStyle w:val="ConsPlusNormal"/>
        <w:jc w:val="both"/>
      </w:pPr>
    </w:p>
    <w:p w14:paraId="587E21F9" w14:textId="77777777" w:rsidR="00DD5A98" w:rsidRDefault="00DD5A98">
      <w:pPr>
        <w:pStyle w:val="ConsPlusNormal"/>
        <w:jc w:val="center"/>
      </w:pPr>
      <w:r>
        <w:t>Принят Думой Ханты-Мансийского</w:t>
      </w:r>
    </w:p>
    <w:p w14:paraId="79EA2AE4" w14:textId="77777777" w:rsidR="00DD5A98" w:rsidRDefault="00DD5A98">
      <w:pPr>
        <w:pStyle w:val="ConsPlusNormal"/>
        <w:jc w:val="center"/>
      </w:pPr>
      <w:r>
        <w:t>автономного округа - Югры 1 апреля 2020 года</w:t>
      </w:r>
    </w:p>
    <w:p w14:paraId="277C5A13" w14:textId="77777777" w:rsidR="00DD5A98" w:rsidRDefault="00DD5A9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A98" w14:paraId="386C298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8985E72" w14:textId="77777777" w:rsidR="00DD5A98" w:rsidRDefault="00DD5A9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 </w:t>
            </w:r>
            <w:hyperlink w:anchor="P43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01.01.2021.</w:t>
            </w:r>
          </w:p>
        </w:tc>
      </w:tr>
    </w:tbl>
    <w:p w14:paraId="28832D3D" w14:textId="77777777" w:rsidR="00DD5A98" w:rsidRDefault="00DD5A98">
      <w:pPr>
        <w:pStyle w:val="ConsPlusNormal"/>
        <w:spacing w:before="280"/>
        <w:ind w:firstLine="540"/>
        <w:jc w:val="both"/>
        <w:outlineLvl w:val="0"/>
      </w:pPr>
      <w:bookmarkStart w:id="0" w:name="P15"/>
      <w:bookmarkEnd w:id="0"/>
      <w:r>
        <w:t xml:space="preserve">Статья 1. Внести в </w:t>
      </w:r>
      <w:hyperlink r:id="rId5" w:history="1">
        <w:r>
          <w:rPr>
            <w:color w:val="0000FF"/>
          </w:rPr>
          <w:t>статью 2</w:t>
        </w:r>
      </w:hyperlink>
      <w:r>
        <w:t xml:space="preserve"> Закона Ханты-Мансийского автономного округа - Югры от 30 декабря 2008 года N 166-оз "О ставках налога, уплачиваемого в связи с применением упрощенной системы налогообложения" (с изменениями, внесенными Законами Ханты-Мансийского автономного округа - Югры от 10 марта 2011 года N 22-оз, 30 сентября 2013 года N 84-оз, 17 октября 2014 года N 82-оз, 27 сентября 2015 года N 105-оз, 29 октября 2017 года N 68-оз, 17 октября 2018 года N 80-оз, 18 октября 2019 года N 70-оз) (Собрание законодательства Ханты-Мансийского автономного округа - Югры, 2008, N 12 (ч. 3), ст. 1934; 2011, N 3 (ч. 1), ст. 166; 2013, N 9 (ч. 2, т. 1), ст. 1121; 2014, N 10 (с.), ст. 1182; 2015, N 9 (ч. 2, т. 1), ст. 926; 2017, N 10 (ч. 2, т. 1), ст. 1056; 2018, N 10 (ч. 2), ст. 1053; 2019, N 10 (ч. 2, т. 1), ст. 1160) следующие изменения:</w:t>
      </w:r>
    </w:p>
    <w:p w14:paraId="4B6B5247" w14:textId="77777777" w:rsidR="00DD5A98" w:rsidRDefault="00DD5A98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Подпункт 18 пункта 2</w:t>
        </w:r>
      </w:hyperlink>
      <w:r>
        <w:t xml:space="preserve"> после слов "классы 94, 96" дополнить словами ", за исключением групп 96.02, 96.04".</w:t>
      </w:r>
    </w:p>
    <w:p w14:paraId="6F4054D1" w14:textId="77777777" w:rsidR="00DD5A98" w:rsidRDefault="00DD5A98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14:paraId="1202CCC4" w14:textId="77777777" w:rsidR="00DD5A98" w:rsidRDefault="00DD5A98">
      <w:pPr>
        <w:pStyle w:val="ConsPlusNormal"/>
        <w:spacing w:before="220"/>
        <w:ind w:firstLine="540"/>
        <w:jc w:val="both"/>
      </w:pPr>
      <w:r>
        <w:t>"2.1. В течение 2020 года в случае, если объектом налогообложения являются доходы, налоговая ставка в размере 1 процента устанавливается для организаций и индивидуальных предпринимателей, основными видами экономической деятельности которых являются виды деятельности, включенные в следующие группировки:</w:t>
      </w:r>
    </w:p>
    <w:p w14:paraId="107631FB" w14:textId="77777777" w:rsidR="00DD5A98" w:rsidRDefault="00DD5A98">
      <w:pPr>
        <w:pStyle w:val="ConsPlusNormal"/>
        <w:spacing w:before="220"/>
        <w:ind w:firstLine="540"/>
        <w:jc w:val="both"/>
      </w:pPr>
      <w:r>
        <w:t>1) деятельность гостиниц и предприятий общественного питания (классы 55, 56, за исключением подкласса 56.3);</w:t>
      </w:r>
    </w:p>
    <w:p w14:paraId="21681532" w14:textId="77777777" w:rsidR="00DD5A98" w:rsidRDefault="00DD5A98">
      <w:pPr>
        <w:pStyle w:val="ConsPlusNormal"/>
        <w:spacing w:before="220"/>
        <w:ind w:firstLine="540"/>
        <w:jc w:val="both"/>
      </w:pPr>
      <w:r>
        <w:t>2) деятельность туристических агентств и прочих организаций, предоставляющих услуги в сфере туризма (класс 79);</w:t>
      </w:r>
    </w:p>
    <w:p w14:paraId="3101DCAE" w14:textId="77777777" w:rsidR="00DD5A98" w:rsidRDefault="00DD5A98">
      <w:pPr>
        <w:pStyle w:val="ConsPlusNormal"/>
        <w:spacing w:before="220"/>
        <w:ind w:firstLine="540"/>
        <w:jc w:val="both"/>
      </w:pPr>
      <w:r>
        <w:t>3) деятельность по организации конференций и выставок (подкласс 82.3);</w:t>
      </w:r>
    </w:p>
    <w:p w14:paraId="2F7BDDEC" w14:textId="77777777" w:rsidR="00DD5A98" w:rsidRDefault="00DD5A98">
      <w:pPr>
        <w:pStyle w:val="ConsPlusNormal"/>
        <w:spacing w:before="220"/>
        <w:ind w:firstLine="540"/>
        <w:jc w:val="both"/>
      </w:pPr>
      <w:r>
        <w:t>4) образование (класс 85);</w:t>
      </w:r>
    </w:p>
    <w:p w14:paraId="3DFD70FD" w14:textId="77777777" w:rsidR="00DD5A98" w:rsidRDefault="00DD5A98">
      <w:pPr>
        <w:pStyle w:val="ConsPlusNormal"/>
        <w:spacing w:before="220"/>
        <w:ind w:firstLine="540"/>
        <w:jc w:val="both"/>
      </w:pPr>
      <w:r>
        <w:t>5) деятельность в области здравоохранения и социальных услуг (классы 86 - 88);</w:t>
      </w:r>
    </w:p>
    <w:p w14:paraId="3EE473F9" w14:textId="77777777" w:rsidR="00DD5A98" w:rsidRDefault="00DD5A98">
      <w:pPr>
        <w:pStyle w:val="ConsPlusNormal"/>
        <w:spacing w:before="220"/>
        <w:ind w:firstLine="540"/>
        <w:jc w:val="both"/>
      </w:pPr>
      <w:r>
        <w:t>6) деятельность в области культуры, спорта, организации досуга и развлечений (классы 90 - 93);</w:t>
      </w:r>
    </w:p>
    <w:p w14:paraId="5D41FE08" w14:textId="77777777" w:rsidR="00DD5A98" w:rsidRDefault="00DD5A98">
      <w:pPr>
        <w:pStyle w:val="ConsPlusNormal"/>
        <w:spacing w:before="220"/>
        <w:ind w:firstLine="540"/>
        <w:jc w:val="both"/>
      </w:pPr>
      <w:r>
        <w:t>7) предоставление прочих видов услуг (группы 96.02, 96.04).".</w:t>
      </w:r>
    </w:p>
    <w:p w14:paraId="47BB6C4C" w14:textId="77777777" w:rsidR="00DD5A98" w:rsidRDefault="00DD5A9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8" w:history="1">
        <w:r>
          <w:rPr>
            <w:color w:val="0000FF"/>
          </w:rPr>
          <w:t>Пункт 4</w:t>
        </w:r>
      </w:hyperlink>
      <w:r>
        <w:t xml:space="preserve"> дополнить словами ", а также для субъектов малого и среднего предпринимательства, которые признаны социальными предприятиями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14:paraId="7C366EF5" w14:textId="77777777" w:rsidR="00DD5A98" w:rsidRDefault="00DD5A98">
      <w:pPr>
        <w:pStyle w:val="ConsPlusNormal"/>
        <w:jc w:val="both"/>
      </w:pPr>
    </w:p>
    <w:p w14:paraId="4F4B948E" w14:textId="77777777" w:rsidR="00DD5A98" w:rsidRDefault="00DD5A98">
      <w:pPr>
        <w:pStyle w:val="ConsPlusNormal"/>
        <w:ind w:firstLine="540"/>
        <w:jc w:val="both"/>
        <w:outlineLvl w:val="0"/>
      </w:pPr>
      <w:r>
        <w:t xml:space="preserve">Статья 2. </w:t>
      </w:r>
      <w:hyperlink r:id="rId10" w:history="1">
        <w:r>
          <w:rPr>
            <w:color w:val="0000FF"/>
          </w:rPr>
          <w:t>Статью 3</w:t>
        </w:r>
      </w:hyperlink>
      <w:r>
        <w:t xml:space="preserve"> Закона Ханты-Мансийского автономного округа - Югры от 29 ноября 2010 года N 190-оз "О налоге на имущество организаций" (с изменениями, внесенными законами Ханты-Мансийского автономного округа - Югры от 7 июля 2011 года N 74-оз, 30 сентября 2011 года N 88-оз, 23 февраля 2013 года N 5-оз, 24 октября 2013 года N 104-оз, 17 октября 2014 года N 82-оз, 29 октября 2015 года N 110-оз, 27 апреля 2016 года N 39-оз, 17 ноября 2016 года N 80-оз, 30 января 2017 года N 3-оз, 29 октября 2017 года N 68-оз, 20 декабря 2017 года N 92-оз, 17 октября 2018 года N 80-оз, 18 октября 2019 года N 70-оз, 21 ноября 2019 года N 78-оз) (Собрание законодательства Ханты-Мансийского автономного округа - Югры, 2010, N 11 (ч. 2), ст. 980; 2011, N 7 (ч. 1), ст. 639; N 9 (ч. 2), ст. 875; 2013, N 2 (ч. 2), ст. 161; N 10 (ч. 2), ст. 1269; 2014, N 10 (с.), ст. 1182; 2015, N 10 (ч. 2, т. 1), ст. 1074; 2016, N 4 (ч. 2, т. 1), ст. 418; N 11 (ч. 2, т. 1), ст. 1257; 2017, N 1 (ч. 2), ст. 31; N 10 (ч. 2, т. 1), ст. 1056; N 12 (с.) от 20 декабря 2017 года, ст. 1379; 2018, N 10 (ч. 2), ст. 1053; 2019, N 10 (ч. 2, т. 1), ст. 1160; N 11 (ч. 2, т. 3), ст. 1304) дополнить пунктом 2.1 следующего содержания:</w:t>
      </w:r>
    </w:p>
    <w:p w14:paraId="218EE6A0" w14:textId="77777777" w:rsidR="00DD5A98" w:rsidRDefault="00DD5A98">
      <w:pPr>
        <w:pStyle w:val="ConsPlusNormal"/>
        <w:spacing w:before="220"/>
        <w:ind w:firstLine="540"/>
        <w:jc w:val="both"/>
      </w:pPr>
      <w:r>
        <w:t xml:space="preserve">"2.1. Налоговая ставка в отношении объектов недвижимого имущества, налоговая база по которым определяется как их кадастровая стоимость, устанавливается для организаций, являющихся субъектами малого и среднего предпринимательства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 следующих размерах:</w:t>
      </w:r>
    </w:p>
    <w:p w14:paraId="02325634" w14:textId="77777777" w:rsidR="00DD5A98" w:rsidRDefault="00DD5A98">
      <w:pPr>
        <w:pStyle w:val="ConsPlusNormal"/>
        <w:spacing w:before="220"/>
        <w:ind w:firstLine="540"/>
        <w:jc w:val="both"/>
      </w:pPr>
      <w:r>
        <w:t>1) в 2020 году - 0,7 процента;</w:t>
      </w:r>
    </w:p>
    <w:p w14:paraId="6021C6B4" w14:textId="77777777" w:rsidR="00DD5A98" w:rsidRDefault="00DD5A98">
      <w:pPr>
        <w:pStyle w:val="ConsPlusNormal"/>
        <w:spacing w:before="220"/>
        <w:ind w:firstLine="540"/>
        <w:jc w:val="both"/>
      </w:pPr>
      <w:r>
        <w:t>2) в 2021 году - 1 процент;</w:t>
      </w:r>
    </w:p>
    <w:p w14:paraId="0AD0E1FB" w14:textId="77777777" w:rsidR="00DD5A98" w:rsidRDefault="00DD5A98">
      <w:pPr>
        <w:pStyle w:val="ConsPlusNormal"/>
        <w:spacing w:before="220"/>
        <w:ind w:firstLine="540"/>
        <w:jc w:val="both"/>
      </w:pPr>
      <w:r>
        <w:t>3) в 2022 году - 1,3 процента;</w:t>
      </w:r>
    </w:p>
    <w:p w14:paraId="0A7A0499" w14:textId="77777777" w:rsidR="00DD5A98" w:rsidRDefault="00DD5A98">
      <w:pPr>
        <w:pStyle w:val="ConsPlusNormal"/>
        <w:spacing w:before="220"/>
        <w:ind w:firstLine="540"/>
        <w:jc w:val="both"/>
      </w:pPr>
      <w:r>
        <w:t>4) в 2023 году - 1,6 процента;</w:t>
      </w:r>
    </w:p>
    <w:p w14:paraId="060F0DB8" w14:textId="77777777" w:rsidR="00DD5A98" w:rsidRDefault="00DD5A98">
      <w:pPr>
        <w:pStyle w:val="ConsPlusNormal"/>
        <w:spacing w:before="220"/>
        <w:ind w:firstLine="540"/>
        <w:jc w:val="both"/>
      </w:pPr>
      <w:r>
        <w:t>5) в 2024 году и последующие годы - 2 процента.".</w:t>
      </w:r>
    </w:p>
    <w:p w14:paraId="0A8DFECC" w14:textId="77777777" w:rsidR="00DD5A98" w:rsidRDefault="00DD5A9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D5A98" w14:paraId="0912A90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4749F5F" w14:textId="77777777" w:rsidR="00DD5A98" w:rsidRDefault="00DD5A98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43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 с 01.01.2021.</w:t>
            </w:r>
          </w:p>
        </w:tc>
      </w:tr>
    </w:tbl>
    <w:p w14:paraId="2BEB16C9" w14:textId="77777777" w:rsidR="00DD5A98" w:rsidRDefault="00DD5A98">
      <w:pPr>
        <w:pStyle w:val="ConsPlusNormal"/>
        <w:spacing w:before="280"/>
        <w:ind w:firstLine="540"/>
        <w:jc w:val="both"/>
        <w:outlineLvl w:val="0"/>
      </w:pPr>
      <w:bookmarkStart w:id="1" w:name="P37"/>
      <w:bookmarkEnd w:id="1"/>
      <w:r>
        <w:t xml:space="preserve">Статья 3. </w:t>
      </w:r>
      <w:hyperlink r:id="rId12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9 ноября 2012 года N 123-оз "Об установлении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налогообложения" (с изменениями, внесенными законами Ханты-Мансийского автономного округа - Югры от 7 ноября 2013 года N 111-оз, 17 октября 2014 года N 82-оз, 27 сентября 2015 года N 105-оз, 30 января 2017 года N 3-оз, 17 октября 2018 года N 80-оз, 21 ноября 2019 года N 78-оз) (Собрание законодательства Ханты-Мансийского автономного округа - Югры, 2012, N 11 (с.), ст. 1273; 2013, N 11 (ч. 1), ст. 1324; 2014, N 10 (с.), ст. 1182; 2015, N 9 (ч. 2, т. 1), ст. 926; 2017, N 1 (ч. 2), ст. 31; 2018, N 10 (ч. 2), ст. 1053; N 11 (ч. 2, т. 3), ст. 1304) дополнить частью четвертой следующего содержания:</w:t>
      </w:r>
    </w:p>
    <w:p w14:paraId="74D5DB0F" w14:textId="77777777" w:rsidR="00DD5A98" w:rsidRDefault="00DD5A98">
      <w:pPr>
        <w:pStyle w:val="ConsPlusNormal"/>
        <w:spacing w:before="220"/>
        <w:ind w:firstLine="540"/>
        <w:jc w:val="both"/>
      </w:pPr>
      <w:r>
        <w:t xml:space="preserve">"Коэффициент-дефлятор, учитывающий изменение потребительских цен на товары (работы, услуги) в Российской Федерации, установленный на 2020 год в целях применения </w:t>
      </w:r>
      <w:hyperlink r:id="rId13" w:history="1">
        <w:r>
          <w:rPr>
            <w:color w:val="0000FF"/>
          </w:rPr>
          <w:t>главы 26.5</w:t>
        </w:r>
      </w:hyperlink>
      <w:r>
        <w:t xml:space="preserve"> части второй Налогового кодекса Российской Федерации, не применяется к размерам потенциально возможного к получению индивидуальным предпринимателем годового дохода, установленным строками 3, 14, 25, 33, 36, 40, 41.3 и 52 приложения 1, а также строками 1 и 3 приложения 3 к настоящему Закону.".</w:t>
      </w:r>
    </w:p>
    <w:p w14:paraId="4B41B793" w14:textId="77777777" w:rsidR="00DD5A98" w:rsidRDefault="00DD5A98">
      <w:pPr>
        <w:pStyle w:val="ConsPlusNormal"/>
        <w:jc w:val="both"/>
      </w:pPr>
    </w:p>
    <w:p w14:paraId="332C5640" w14:textId="77777777" w:rsidR="00DD5A98" w:rsidRDefault="00DD5A98">
      <w:pPr>
        <w:pStyle w:val="ConsPlusNormal"/>
        <w:ind w:firstLine="540"/>
        <w:jc w:val="both"/>
        <w:outlineLvl w:val="0"/>
      </w:pPr>
      <w:r>
        <w:t xml:space="preserve">Статья 4. Приостановить с 1 января 2020 года до 31 декабря 2020 года включительно действие </w:t>
      </w:r>
      <w:hyperlink r:id="rId14" w:history="1">
        <w:r>
          <w:rPr>
            <w:color w:val="0000FF"/>
          </w:rPr>
          <w:t>подпунктов 8</w:t>
        </w:r>
      </w:hyperlink>
      <w:r>
        <w:t xml:space="preserve">, </w:t>
      </w:r>
      <w:hyperlink r:id="rId15" w:history="1">
        <w:r>
          <w:rPr>
            <w:color w:val="0000FF"/>
          </w:rPr>
          <w:t>10</w:t>
        </w:r>
      </w:hyperlink>
      <w:r>
        <w:t xml:space="preserve">, </w:t>
      </w:r>
      <w:hyperlink r:id="rId16" w:history="1">
        <w:r>
          <w:rPr>
            <w:color w:val="0000FF"/>
          </w:rPr>
          <w:t>11</w:t>
        </w:r>
      </w:hyperlink>
      <w:r>
        <w:t xml:space="preserve"> и </w:t>
      </w:r>
      <w:hyperlink r:id="rId17" w:history="1">
        <w:r>
          <w:rPr>
            <w:color w:val="0000FF"/>
          </w:rPr>
          <w:t>16 пункта 2 статьи 2</w:t>
        </w:r>
      </w:hyperlink>
      <w:r>
        <w:t xml:space="preserve"> Закона Ханты-Мансийского автономного округа - Югры от 30 декабря 2008 года N 166-оз "О ставках налога, уплачиваемого в связи с применением упрощенной системы налогообложения".</w:t>
      </w:r>
    </w:p>
    <w:p w14:paraId="46F5928B" w14:textId="77777777" w:rsidR="00DD5A98" w:rsidRDefault="00DD5A98">
      <w:pPr>
        <w:pStyle w:val="ConsPlusNormal"/>
        <w:jc w:val="both"/>
      </w:pPr>
    </w:p>
    <w:p w14:paraId="5603A84D" w14:textId="77777777" w:rsidR="00DD5A98" w:rsidRDefault="00DD5A98">
      <w:pPr>
        <w:pStyle w:val="ConsPlusNormal"/>
        <w:ind w:firstLine="540"/>
        <w:jc w:val="both"/>
        <w:outlineLvl w:val="0"/>
      </w:pPr>
      <w:r>
        <w:t>Статья 5. 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bookmarkStart w:id="2" w:name="P43"/>
    <w:bookmarkEnd w:id="2"/>
    <w:p w14:paraId="655C6896" w14:textId="77777777" w:rsidR="00DD5A98" w:rsidRDefault="00DD5A98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"P15" </w:instrText>
      </w:r>
      <w:r>
        <w:fldChar w:fldCharType="separate"/>
      </w:r>
      <w:r>
        <w:rPr>
          <w:color w:val="0000FF"/>
        </w:rPr>
        <w:t>Статьи 1</w:t>
      </w:r>
      <w:r w:rsidRPr="00B84501">
        <w:rPr>
          <w:color w:val="0000FF"/>
        </w:rPr>
        <w:fldChar w:fldCharType="end"/>
      </w:r>
      <w:r>
        <w:t xml:space="preserve"> и </w:t>
      </w:r>
      <w:hyperlink w:anchor="P37" w:history="1">
        <w:r>
          <w:rPr>
            <w:color w:val="0000FF"/>
          </w:rPr>
          <w:t>3</w:t>
        </w:r>
      </w:hyperlink>
      <w:r>
        <w:t xml:space="preserve"> настоящего Закона действуют до 31 декабря 2020 года включительно.</w:t>
      </w:r>
    </w:p>
    <w:p w14:paraId="252541CC" w14:textId="77777777" w:rsidR="00DD5A98" w:rsidRDefault="00DD5A98">
      <w:pPr>
        <w:pStyle w:val="ConsPlusNormal"/>
        <w:jc w:val="both"/>
      </w:pPr>
    </w:p>
    <w:p w14:paraId="2159F9E4" w14:textId="77777777" w:rsidR="00DD5A98" w:rsidRDefault="00DD5A98">
      <w:pPr>
        <w:pStyle w:val="ConsPlusNormal"/>
        <w:jc w:val="right"/>
      </w:pPr>
      <w:r>
        <w:t>Губернатор</w:t>
      </w:r>
    </w:p>
    <w:p w14:paraId="13D45DF2" w14:textId="77777777" w:rsidR="00DD5A98" w:rsidRDefault="00DD5A98">
      <w:pPr>
        <w:pStyle w:val="ConsPlusNormal"/>
        <w:jc w:val="right"/>
      </w:pPr>
      <w:r>
        <w:t>Ханты-Мансийского</w:t>
      </w:r>
    </w:p>
    <w:p w14:paraId="5524D6A4" w14:textId="77777777" w:rsidR="00DD5A98" w:rsidRDefault="00DD5A98">
      <w:pPr>
        <w:pStyle w:val="ConsPlusNormal"/>
        <w:jc w:val="right"/>
      </w:pPr>
      <w:r>
        <w:t>автономного округа - Югры</w:t>
      </w:r>
    </w:p>
    <w:p w14:paraId="014B4798" w14:textId="77777777" w:rsidR="00DD5A98" w:rsidRDefault="00DD5A98">
      <w:pPr>
        <w:pStyle w:val="ConsPlusNormal"/>
        <w:jc w:val="right"/>
      </w:pPr>
      <w:r>
        <w:t>Н.В.КОМАРОВА</w:t>
      </w:r>
    </w:p>
    <w:p w14:paraId="400648EB" w14:textId="77777777" w:rsidR="00DD5A98" w:rsidRDefault="00DD5A98">
      <w:pPr>
        <w:pStyle w:val="ConsPlusNormal"/>
      </w:pPr>
      <w:r>
        <w:t>г. Ханты-Мансийск</w:t>
      </w:r>
    </w:p>
    <w:p w14:paraId="4C2829C7" w14:textId="77777777" w:rsidR="00DD5A98" w:rsidRDefault="00DD5A98">
      <w:pPr>
        <w:pStyle w:val="ConsPlusNormal"/>
        <w:spacing w:before="220"/>
      </w:pPr>
      <w:r>
        <w:t>1 апреля 2020 года</w:t>
      </w:r>
    </w:p>
    <w:p w14:paraId="3BD78465" w14:textId="77777777" w:rsidR="00DD5A98" w:rsidRDefault="00DD5A98">
      <w:pPr>
        <w:pStyle w:val="ConsPlusNormal"/>
        <w:spacing w:before="220"/>
      </w:pPr>
      <w:r>
        <w:t>N 35-оз</w:t>
      </w:r>
    </w:p>
    <w:p w14:paraId="55FEED02" w14:textId="77777777" w:rsidR="00DD5A98" w:rsidRDefault="00DD5A98">
      <w:pPr>
        <w:pStyle w:val="ConsPlusNormal"/>
        <w:jc w:val="both"/>
      </w:pPr>
    </w:p>
    <w:p w14:paraId="2FD74928" w14:textId="77777777" w:rsidR="00DD5A98" w:rsidRDefault="00DD5A98">
      <w:pPr>
        <w:pStyle w:val="ConsPlusNormal"/>
        <w:jc w:val="both"/>
      </w:pPr>
    </w:p>
    <w:p w14:paraId="711E5ECB" w14:textId="77777777" w:rsidR="00DD5A98" w:rsidRDefault="00DD5A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8F356AB" w14:textId="77777777" w:rsidR="005562AF" w:rsidRDefault="005562AF"/>
    <w:sectPr w:rsidR="005562AF" w:rsidSect="0036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98"/>
    <w:rsid w:val="005562AF"/>
    <w:rsid w:val="00D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861E"/>
  <w15:chartTrackingRefBased/>
  <w15:docId w15:val="{E88072EA-3078-4C9D-9476-AA0C2B75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5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5A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1D61C3066FCE2D30ABB77E1B18AEE1831F98999A85A73E91FF1B7401E03B3DF210451F823EDFCD90266CD19444C71A1066E4D3AD2498455A2O" TargetMode="External"/><Relationship Id="rId13" Type="http://schemas.openxmlformats.org/officeDocument/2006/relationships/hyperlink" Target="consultantplus://offline/ref=CE11D61C3066FCE2D30AA57AF7DDDDE11D39A3839BA75820B642F7E01F4E05E69F610202BD6EE5F08E5876C95011426FA21E704924D254A9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11D61C3066FCE2D30ABB77E1B18AEE1831F98999A85A73E91FF1B7401E03B3DF210451F823EDFFDF0266CD19444C71A1066E4D3AD2498455A2O" TargetMode="External"/><Relationship Id="rId12" Type="http://schemas.openxmlformats.org/officeDocument/2006/relationships/hyperlink" Target="consultantplus://offline/ref=CE11D61C3066FCE2D30ABB77E1B18AEE1831F9899AA15377EA1EF1B7401E03B3DF210451F823EDFED80139C80C55147CA21B704B22CE4B865053ADO" TargetMode="External"/><Relationship Id="rId17" Type="http://schemas.openxmlformats.org/officeDocument/2006/relationships/hyperlink" Target="consultantplus://offline/ref=CE11D61C3066FCE2D30ABB77E1B18AEE1831F98999A85A73E91FF1B7401E03B3DF210451F823EDFDD90266CD19444C71A1066E4D3AD2498455A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11D61C3066FCE2D30ABB77E1B18AEE1831F98999A85A73E91FF1B7401E03B3DF210451F823EDFED20266CD19444C71A1066E4D3AD2498455A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11D61C3066FCE2D30ABB77E1B18AEE1831F98999A85A73E91FF1B7401E03B3DF210451F823EDFDDF0266CD19444C71A1066E4D3AD2498455A2O" TargetMode="External"/><Relationship Id="rId11" Type="http://schemas.openxmlformats.org/officeDocument/2006/relationships/hyperlink" Target="consultantplus://offline/ref=CE11D61C3066FCE2D30AA57AF7DDDDE11D38AE879EA95820B642F7E01F4E05E68D615A08BB64FEFBDC17309C5F51A1O" TargetMode="External"/><Relationship Id="rId5" Type="http://schemas.openxmlformats.org/officeDocument/2006/relationships/hyperlink" Target="consultantplus://offline/ref=CE11D61C3066FCE2D30ABB77E1B18AEE1831F98999A85A73E91FF1B7401E03B3DF210451F823EDFFDF0266CD19444C71A1066E4D3AD2498455A2O" TargetMode="External"/><Relationship Id="rId15" Type="http://schemas.openxmlformats.org/officeDocument/2006/relationships/hyperlink" Target="consultantplus://offline/ref=CE11D61C3066FCE2D30ABB77E1B18AEE1831F98999A85A73E91FF1B7401E03B3DF210451F823EDFEDD0266CD19444C71A1066E4D3AD2498455A2O" TargetMode="External"/><Relationship Id="rId10" Type="http://schemas.openxmlformats.org/officeDocument/2006/relationships/hyperlink" Target="consultantplus://offline/ref=CE11D61C3066FCE2D30ABB77E1B18AEE1831F98999A85A73E91EF1B7401E03B3DF210451F823EDFADF0266CD19444C71A1066E4D3AD2498455A2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11D61C3066FCE2D30AA57AF7DDDDE11D38AE879EA95820B642F7E01F4E05E68D615A08BB64FEFBDC17309C5F51A1O" TargetMode="External"/><Relationship Id="rId14" Type="http://schemas.openxmlformats.org/officeDocument/2006/relationships/hyperlink" Target="consultantplus://offline/ref=CE11D61C3066FCE2D30ABB77E1B18AEE1831F98999A85A73E91FF1B7401E03B3DF210451F823EDFEDF0266CD19444C71A1066E4D3AD2498455A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f17</cp:lastModifiedBy>
  <cp:revision>1</cp:revision>
  <dcterms:created xsi:type="dcterms:W3CDTF">2020-06-03T14:00:00Z</dcterms:created>
  <dcterms:modified xsi:type="dcterms:W3CDTF">2020-06-03T14:01:00Z</dcterms:modified>
</cp:coreProperties>
</file>