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110" w:rsidRDefault="008E211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2110" w:rsidRDefault="008E2110">
      <w:pPr>
        <w:pStyle w:val="ConsPlusNormal"/>
        <w:jc w:val="both"/>
        <w:outlineLvl w:val="0"/>
      </w:pPr>
    </w:p>
    <w:p w:rsidR="008E2110" w:rsidRDefault="008E211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2110" w:rsidRDefault="008E2110">
      <w:pPr>
        <w:pStyle w:val="ConsPlusTitle"/>
        <w:jc w:val="center"/>
      </w:pPr>
    </w:p>
    <w:p w:rsidR="008E2110" w:rsidRDefault="008E2110">
      <w:pPr>
        <w:pStyle w:val="ConsPlusTitle"/>
        <w:jc w:val="center"/>
      </w:pPr>
      <w:r>
        <w:t>ПОСТАНОВЛЕНИЕ</w:t>
      </w:r>
    </w:p>
    <w:p w:rsidR="008E2110" w:rsidRDefault="008E2110">
      <w:pPr>
        <w:pStyle w:val="ConsPlusTitle"/>
        <w:jc w:val="center"/>
      </w:pPr>
      <w:r>
        <w:t>от 17 июня 2016 г. N 548</w:t>
      </w:r>
    </w:p>
    <w:p w:rsidR="008E2110" w:rsidRDefault="008E2110">
      <w:pPr>
        <w:pStyle w:val="ConsPlusTitle"/>
        <w:jc w:val="center"/>
      </w:pPr>
    </w:p>
    <w:p w:rsidR="008E2110" w:rsidRDefault="008E2110">
      <w:pPr>
        <w:pStyle w:val="ConsPlusTitle"/>
        <w:jc w:val="center"/>
      </w:pPr>
      <w:r>
        <w:t>ОБ УТВЕРЖДЕНИИ ПРАВИЛ</w:t>
      </w:r>
    </w:p>
    <w:p w:rsidR="008E2110" w:rsidRDefault="008E2110">
      <w:pPr>
        <w:pStyle w:val="ConsPlusTitle"/>
        <w:jc w:val="center"/>
      </w:pPr>
      <w:r>
        <w:t>ПРЕДОСТАВЛЕНИЯ ИЗ ФЕДЕРАЛЬНОГО БЮДЖЕТА СУБСИДИЙ</w:t>
      </w:r>
    </w:p>
    <w:p w:rsidR="008E2110" w:rsidRDefault="008E2110">
      <w:pPr>
        <w:pStyle w:val="ConsPlusTitle"/>
        <w:jc w:val="center"/>
      </w:pPr>
      <w:r>
        <w:t>РОССИЙСКИМ ОРГАНИЗАЦИЯМ НА ВОЗМЕЩЕНИЕ ЧАСТИ ЗАТРАТ,</w:t>
      </w:r>
    </w:p>
    <w:p w:rsidR="008E2110" w:rsidRDefault="008E2110">
      <w:pPr>
        <w:pStyle w:val="ConsPlusTitle"/>
        <w:jc w:val="center"/>
      </w:pPr>
      <w:r>
        <w:t>СВЯЗАННЫХ С УПЛАТОЙ ПОШЛИН ПРИ ПАТЕНТОВАНИИ РОССИЙСКИХ</w:t>
      </w:r>
    </w:p>
    <w:p w:rsidR="008E2110" w:rsidRDefault="008E2110">
      <w:pPr>
        <w:pStyle w:val="ConsPlusTitle"/>
        <w:jc w:val="center"/>
      </w:pPr>
      <w:r>
        <w:t>РАЗРАБОТОК ПРОИЗВОДИТЕЛЕЙ И ЭКСПОРТЕРОВ ЗА РУБЕЖОМ</w:t>
      </w: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из федерального бюджета субсидий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рубежом.</w:t>
      </w: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jc w:val="right"/>
      </w:pPr>
      <w:r>
        <w:t>Председатель Правительства</w:t>
      </w:r>
    </w:p>
    <w:p w:rsidR="008E2110" w:rsidRDefault="008E2110">
      <w:pPr>
        <w:pStyle w:val="ConsPlusNormal"/>
        <w:jc w:val="right"/>
      </w:pPr>
      <w:r>
        <w:t>Российской Федерации</w:t>
      </w:r>
    </w:p>
    <w:p w:rsidR="008E2110" w:rsidRDefault="008E2110">
      <w:pPr>
        <w:pStyle w:val="ConsPlusNormal"/>
        <w:jc w:val="right"/>
      </w:pPr>
      <w:r>
        <w:t>Д.МЕДВЕДЕВ</w:t>
      </w: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jc w:val="right"/>
        <w:outlineLvl w:val="0"/>
      </w:pPr>
      <w:r>
        <w:t>Утверждены</w:t>
      </w:r>
    </w:p>
    <w:p w:rsidR="008E2110" w:rsidRDefault="008E2110">
      <w:pPr>
        <w:pStyle w:val="ConsPlusNormal"/>
        <w:jc w:val="right"/>
      </w:pPr>
      <w:r>
        <w:t>постановлением Правительства</w:t>
      </w:r>
    </w:p>
    <w:p w:rsidR="008E2110" w:rsidRDefault="008E2110">
      <w:pPr>
        <w:pStyle w:val="ConsPlusNormal"/>
        <w:jc w:val="right"/>
      </w:pPr>
      <w:r>
        <w:t>Российской Федерации</w:t>
      </w:r>
    </w:p>
    <w:p w:rsidR="008E2110" w:rsidRDefault="008E2110">
      <w:pPr>
        <w:pStyle w:val="ConsPlusNormal"/>
        <w:jc w:val="right"/>
      </w:pPr>
      <w:r>
        <w:t>от 17 июня 2016 г. N 548</w:t>
      </w: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Title"/>
        <w:jc w:val="center"/>
      </w:pPr>
      <w:bookmarkStart w:id="0" w:name="P28"/>
      <w:bookmarkEnd w:id="0"/>
      <w:r>
        <w:t>ПРАВИЛА</w:t>
      </w:r>
    </w:p>
    <w:p w:rsidR="008E2110" w:rsidRDefault="008E2110">
      <w:pPr>
        <w:pStyle w:val="ConsPlusTitle"/>
        <w:jc w:val="center"/>
      </w:pPr>
      <w:r>
        <w:t>ПРЕДОСТАВЛЕНИЯ ИЗ ФЕДЕРАЛЬНОГО БЮДЖЕТА СУБСИДИЙ</w:t>
      </w:r>
    </w:p>
    <w:p w:rsidR="008E2110" w:rsidRDefault="008E2110">
      <w:pPr>
        <w:pStyle w:val="ConsPlusTitle"/>
        <w:jc w:val="center"/>
      </w:pPr>
      <w:r>
        <w:t>РОССИЙСКИМ ОРГАНИЗАЦИЯМ НА ВОЗМЕЩЕНИЕ ЧАСТИ ЗАТРАТ,</w:t>
      </w:r>
    </w:p>
    <w:p w:rsidR="008E2110" w:rsidRDefault="008E2110">
      <w:pPr>
        <w:pStyle w:val="ConsPlusTitle"/>
        <w:jc w:val="center"/>
      </w:pPr>
      <w:r>
        <w:t>СВЯЗАННЫХ С УПЛАТОЙ ПОШЛИН ПРИ ПАТЕНТОВАНИИ РОССИЙСКИХ</w:t>
      </w:r>
    </w:p>
    <w:p w:rsidR="008E2110" w:rsidRDefault="008E2110">
      <w:pPr>
        <w:pStyle w:val="ConsPlusTitle"/>
        <w:jc w:val="center"/>
      </w:pPr>
      <w:r>
        <w:t>РАЗРАБОТОК ПРОИЗВОДИТЕЛЕЙ И ЭКСПОРТЕРОВ ЗА РУБЕЖОМ</w:t>
      </w: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ind w:firstLine="540"/>
        <w:jc w:val="both"/>
      </w:pPr>
      <w:r>
        <w:t>1. Настоящие Правила устанавливают порядок, цель и условия предоставления из федерального бюджета субсидий российским организациям на возмещение части затрат, связанных с уплатой пошлин при патентовании российских разработок производителей и экспортеров за рубежом (далее - субсидии).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2. Субсидии предоставляются российским организациям в целях возмещения части затрат, связанных с уплатой пошлин при патентовании российских разработок производителей и экспортеров за рубежом, в пределах бюджетных ассигнований и лимитов бюджетных обязательств, предусмотренных Министерству промышленности и торговли Российской Федерации на соответствующий финансовый год.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3. Понятия, используемые в настоящих Правилах, означают следующее: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"Договор" - </w:t>
      </w:r>
      <w:hyperlink r:id="rId5" w:history="1">
        <w:r>
          <w:rPr>
            <w:color w:val="0000FF"/>
          </w:rPr>
          <w:t>Договор</w:t>
        </w:r>
      </w:hyperlink>
      <w:r>
        <w:t xml:space="preserve"> о патентной кооперации от 19 июня 1970 г.;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"международная заявка" - патентная заявка, подготовленная оператором для пользователя </w:t>
      </w:r>
      <w:r>
        <w:lastRenderedPageBreak/>
        <w:t xml:space="preserve">согласно </w:t>
      </w:r>
      <w:hyperlink r:id="rId6" w:history="1">
        <w:r>
          <w:rPr>
            <w:color w:val="0000FF"/>
          </w:rPr>
          <w:t>Договору</w:t>
        </w:r>
      </w:hyperlink>
      <w:r>
        <w:t>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"международные пошлины" - пошлины, подлежащие уплате пользователем согласно </w:t>
      </w:r>
      <w:hyperlink r:id="rId7" w:history="1">
        <w:r>
          <w:rPr>
            <w:color w:val="0000FF"/>
          </w:rPr>
          <w:t>Договору</w:t>
        </w:r>
      </w:hyperlink>
      <w:r>
        <w:t>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"международный поиск" - выявление поисковым органом соответствующего уровня техники патентуемого технического решения согласно </w:t>
      </w:r>
      <w:hyperlink r:id="rId8" w:history="1">
        <w:r>
          <w:rPr>
            <w:color w:val="0000FF"/>
          </w:rPr>
          <w:t>Договору</w:t>
        </w:r>
      </w:hyperlink>
      <w:r>
        <w:t>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"национальная заявка" - международная заявка, переведенная на национальную фазу;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"национальное патентное ведомство" - государственный орган иностранного государства или межправительственная организация, осуществляющие экспертизу национальных заявок и выдачу патентов в соответствующих государствах или регионах;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"национальные пошлины" - пошлины, подлежащие уплате пользователем национальному патентному ведомству или иному органу, уполномоченному принимать патентные заявки и выдавать патенты, согласно законодательству государства, в котором была подана национальная заявка;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"оператор" - российское юридическое лицо, оказывающее услуги по патентованию российских разработок за рубежом и соответствующее следующим критериям: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отсутствие задолженности по уплате налогов, сборов и других обязательных платежей в бюджеты бюджетной системы Российской Федерации;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осуществление деятельности в качестве юридического лица не менее 3 лет;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наличие в штате не менее 3 российских патентных поверенных, осуществляющих деятельность в соответствии со специализацией "Изобретения и полезные модели", с непрерывным стажем работы у оператора по трудовому договору не менее 6 месяцев, для которых такое место работы является основным;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наличие не менее 50 международных заявок, поданных для пользователей в соответствии с </w:t>
      </w:r>
      <w:hyperlink r:id="rId9" w:history="1">
        <w:r>
          <w:rPr>
            <w:color w:val="0000FF"/>
          </w:rPr>
          <w:t>Договором</w:t>
        </w:r>
      </w:hyperlink>
      <w:r>
        <w:t xml:space="preserve"> за последние 3 календарных года;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наличие не менее 100 российских заявок на выдачу патента на изобретение или полезную модель, подготовленных и поданных за последний календарный год для пользователей в Федеральную службу по интеллектуальной собственности;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"патент" - документ, выдаваемый национальным патентным ведомством, удостоверяющий приоритет изобретения или полезной модели, авторство и исключительное право на изобретение или полезную модель;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"патентная заявка" - международная заявка или национальная заявка;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"патентные пошлины" - международные пошлины и (или) национальные пошлины, в том числе пошлины за поддержание патента в силе;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"патентуемое техническое решение" - указанное в патентной заявке на изобретение или полезную модель техническое решение, которое является результатом исследовательской деятельности, связанной с реализацией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промышленности и повышение ее конкурентоспособности", утвержденной постановлением Правительства Российской Федерации от 15 апреля 2014 г. N 328 "Об утверждении государственной программы Российской Федерации "Развитие промышленности и повышение ее конкурентоспособности";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"поисковый орган" - Федеральная служба по интеллектуальной собственности;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lastRenderedPageBreak/>
        <w:t>"положительный отчет о международном поиске" - отчет о проведенном международном поиске, содержащий заключение поискового органа о патентоспособности технического решения;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"пользователь" - субъект малого и среднего предпринимательства, индивидуальный предприниматель или физическое лицо, зарегистрированные на территории Российской Федерации, являющиеся производителями и (или) экспортерами и заключившие с оператором договор об оказании услуг по патентованию российских разработок за рубежом;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"пошлины за поддержание патента в силе" - пошлины за поддержание выданного патента в силе, подлежащие уплате пользователем национальному патентному ведомству или иному органу, уполномоченному принимать заявки и выдавать патенты, согласно законодательству государства, в котором был получен патент.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4. Субсидии предоставляются оператору для возмещения части затрат по уплате за пользователей патентных пошлин при патентовании российских разработок за рубежом в случае, если такая уплата осуществляется на основании договора об оказании услуг по патентованию разработок, предусматривающего, что пользователь не возмещает оператору уплаченные патентные пошлины.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5. К затратам оператора на уплату патентных пошлин, на возмещение которых предоставляются субсидии, относятся расходы на уплату за пользователей международных пошлин, национальных пошлин, пошлин за поддержание патента в силе (не более чем за 3 первых года срока действия патента), указанных на официальных сайтах в информационно-телекоммуникационной сети "Интернет" (далее - сеть "Интернет") патентных ведомств государств - участников </w:t>
      </w:r>
      <w:hyperlink r:id="rId11" w:history="1">
        <w:r>
          <w:rPr>
            <w:color w:val="0000FF"/>
          </w:rPr>
          <w:t>Договора</w:t>
        </w:r>
      </w:hyperlink>
      <w:r>
        <w:t xml:space="preserve"> и на официальном сайте в сети "Интернет" Международного бюро Всемирной организации интеллектуальной собственности.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Банковские комиссии, связанные с уплатой указанных патентных пошлин, иные расходы и затраты, понесенные оператором при патентовании российских разработок за рубежом, не подлежат возмещению из средств субсидии.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 xml:space="preserve">6. Отбор получателей субсидий осуществляется Министерством промышленности и торговли Российской Федерации в соответствии с установленным им </w:t>
      </w:r>
      <w:hyperlink r:id="rId12" w:history="1">
        <w:r>
          <w:rPr>
            <w:color w:val="0000FF"/>
          </w:rPr>
          <w:t>порядком</w:t>
        </w:r>
      </w:hyperlink>
      <w:r>
        <w:t>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7. С оператором, прошедшим отбор, Министерство промышленности и торговли Российской Федерации заключает договор о предоставлении субсидии по поданным в текущем финансовом году заявкам пользователей, предусматривающий: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а) цели, условия и порядок предоставления субсидии;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б) план-график финансового обеспечения расходов, связанных с уплатой за пользователей патентных пошлин при патентовании российских разработок за рубежом, с указанием размеров и сроков планируемых затрат;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в) обязанность Министерства промышленности и торговли Российской Федерации и уполномоченных органов государственного финансового контроля проводить проверки соблюдения оператором условий, целей и порядка предоставления субсидии, а также согласие оператора на проведение указанных проверок;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г) показатели эффективности использования субсидии;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д) порядок возврата сумм, использованных оператором, в случае установления по итогам проверок, проведенных Министерством промышленности и торговли Российской Федерации и уполномоченными органами государственного финансового контроля, факта нарушения условий и целей предоставления субсидии;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lastRenderedPageBreak/>
        <w:t>е) порядок и случаи возврата оператором в текущем финансовом году остатка субсидии, не использованного в отчетном финансовом году;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ж) порядок, формы и сроки представления отчетности об использовании субсидии и о достижении показателей эффективности использования субсидии;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з) запрет приобретения за счет полученных средств иностранной валюты, за исключением осуществляемых в соответствии с валютным законодательством Российской Федерации операций, связанных с достижением целей предоставления указанных средств;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и) штрафные санкции за недостижение установленных показателей эффективности использования субсидии;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к) перечень затрат, на возмещение которых предоставляется субсидия;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л) перечень документов, представляемых получателем для получения субсидии;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м) обязанность оператора публиковать на своем официальном сайте в сети "Интернет" информацию о ходе патентования российских разработок за рубежом, расходы на которое возмещаются за счет субсидии.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8. В случае установления факта нарушения условий предоставления субсидии оператор обязан возвратить соответствующие денежные средства в доход федерального бюджета в течение 10 рабочих дней со дня получения соответствующего требования Министерства промышленности и торговли Российской Федерации, направленного заказным почтовым отправлением с уведомлением о вручении.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9. Возврат в текущем финансовом году получателем субсидии остатков субсидии, не использованных в отчетном финансовом году, осуществляется в соответствии с бюджетным законодательством Российской Федерации в случаях, предусмотренных договором о предоставлении субсидии.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10. В случае если на 1 февраля года, следующего за отчетным годом, доля международных заявок, не получивших положительного отчета о международном поиске, превысит 10 процентов общего количества поданных оператором международных заявок, средства субсидии, полученные оператором на возмещение расходов на уплату патентных пошлин по международным заявкам, не получившим положительного отчета о международном поиске и превысившим 10 процентов общего количества поданных оператором международных заявок, подлежат возврату в федеральный бюджет в текущем финансовом году в порядке, установленном бюджетным законодательством Российской Федерации.</w:t>
      </w:r>
    </w:p>
    <w:p w:rsidR="008E2110" w:rsidRDefault="008E2110">
      <w:pPr>
        <w:pStyle w:val="ConsPlusNormal"/>
        <w:spacing w:before="220"/>
        <w:ind w:firstLine="540"/>
        <w:jc w:val="both"/>
      </w:pPr>
      <w:r>
        <w:t>11. Контроль за соблюдением условий, целей и порядка предоставления субсидий осуществляется Министерством промышленности и торговли Российской Федерации и федеральным органом исполнительной власти, осуществляющим функции по контролю и надзору в финансово-бюджетной сфере.</w:t>
      </w: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ind w:firstLine="540"/>
        <w:jc w:val="both"/>
      </w:pPr>
    </w:p>
    <w:p w:rsidR="008E2110" w:rsidRDefault="008E2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99B" w:rsidRDefault="00BD699B">
      <w:bookmarkStart w:id="1" w:name="_GoBack"/>
      <w:bookmarkEnd w:id="1"/>
    </w:p>
    <w:sectPr w:rsidR="00BD699B" w:rsidSect="001F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10"/>
    <w:rsid w:val="008E2110"/>
    <w:rsid w:val="00B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E3FEA-6AED-4F3C-BB55-6B6E811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2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2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C0B016D9ED915A0B84423A2AE05BA198E7E2D6A4F531A7CD92C402BCh1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C0B016D9ED915A0B84423A2AE05BA198E7E2D6A4F531A7CD92C402BCh1L" TargetMode="External"/><Relationship Id="rId12" Type="http://schemas.openxmlformats.org/officeDocument/2006/relationships/hyperlink" Target="consultantplus://offline/ref=E1C0B016D9ED915A0B84473529E05BA198EEE3D6A5F96CADC5CBC800C6CA2F083CEC85720C2F1170BDh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C0B016D9ED915A0B84423A2AE05BA198E7E2D6A4F531A7CD92C402BCh1L" TargetMode="External"/><Relationship Id="rId11" Type="http://schemas.openxmlformats.org/officeDocument/2006/relationships/hyperlink" Target="consultantplus://offline/ref=E1C0B016D9ED915A0B84423A2AE05BA198E7E2D6A4F531A7CD92C402BCh1L" TargetMode="External"/><Relationship Id="rId5" Type="http://schemas.openxmlformats.org/officeDocument/2006/relationships/hyperlink" Target="consultantplus://offline/ref=E1C0B016D9ED915A0B84423A2AE05BA198E7E2D6A4F531A7CD92C402BCh1L" TargetMode="External"/><Relationship Id="rId10" Type="http://schemas.openxmlformats.org/officeDocument/2006/relationships/hyperlink" Target="consultantplus://offline/ref=E1C0B016D9ED915A0B84473529E05BA198E7E0D4A6FD6CADC5CBC800C6CA2F083CEC85720C2F1173BDh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C0B016D9ED915A0B84423A2AE05BA198E7E2D6A4F531A7CD92C402BCh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2018-04-28T11:33:00Z</dcterms:created>
  <dcterms:modified xsi:type="dcterms:W3CDTF">2018-04-28T11:33:00Z</dcterms:modified>
</cp:coreProperties>
</file>