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9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октября 2018 года N 344-п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ГРАНТА В ФОРМЕ СУБСИДИЙ НА СОЗДАНИЕ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РАЗВИТИЕ КРЕСТЬЯНСКИХ (ФЕРМЕРСКИХ) ХОЗЯЙСТВ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8348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484F" w:rsidRDefault="008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3484F" w:rsidRDefault="008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ХМАО - Югры от 08.02.2019 N 31-п)</w:t>
            </w:r>
          </w:p>
        </w:tc>
      </w:tr>
    </w:tbl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Порядок определяет цели, условия, правила предоставления гранта в форме субсидий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</w:t>
      </w:r>
      <w:hyperlink r:id="rId5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"Развитие отрасли животноводства" на создание и развитие крестьянского (фермерского) хозяйства в пределах средств, предусмотренных на эти цели в бюджете автономного округа на текущий год, в том числе поступивших из федерального бюджета, доведенных на указанные цели лимитов бюджетных обязательств и предельных объемов финансирования.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1.2. Грант в форме субсидий на создание и развитие крестьянского (фермерского) хозяйства (далее - Грант) - денежные средства, предоставляемые главам крестьянских (фермерских) хозяйств для софинансирования их затрат, не возмещаемых в рамках иных направлений государственной поддержки в соответствии с настоящим постановлением (далее - Постановление), в целях создания и развития на сельских территориях автономного округа крестьянского (фермерского) хозяйства.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Гранты предоставляются главам крестьянских (фермерских) хозяйств (далее - Заявители), прошедшим конкурсный отбор начинающих фермеров на включение в состав участников настоящей государственной программы, в соответствии с Порядком.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Грант предоставляется на условиях софинансирования расходов Заявителя на реализацию бизнес-плана по созданию и развитию крестьянского (фермерского) хозяйства, определяемых в соответствии с представленным Заявителем планом расходов на создание и развитие крестьянского (фермерского) хозяйства (далее - план расходов) на поддержку одного начинающего фермера для разведения крупного рогатого скота мясного или молочного направлений в размере, не превышающем 3 млн. рублей, но не более 90 процентов затрат, для ведения иных видов деятельности - в размере, не превышающем 1,5 млн. рублей, но не более 90 процентов затрат, при этом срок использования Гранта начинающим фермером составляет не более 18 месяцев с даты заключения соглашения о его предоставлении.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Размер Гранта, предоставляемого Заявителю, определяется конкурсной комиссией, созданной приказом Департамента промышленности автономного округа (далее - Департамент), с учетом наличия собственных средств Заявителя. Размер Гранта должен строго соответствовать плану расходов. Изменение плана расходов, в том числе в пределах предоставленного Гранта, подлежит согласованию с конкурсной комиссией.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Грант должен быть израсходован на цели и в сроки, указанные в плане расходов.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В план расходов включаются расходы Заявителя, соответствующие следующим целям: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приобретение земельных участков из состава земель сельскохозяйственного назначения;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продукции дикоросов;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продукции дикоросов, а также их регистрация;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продукции, продукции дикоросов;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продукции дикоросов, к инженерным сетям - электрическим, водо-, газо- и теплопроводным сетям, дорожной инфраструктуре;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приобретение сельскохозяйственных животных;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продукции дикоросов;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приобретение семян и посадочного материала для закладки многолетних насаждений;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приобретение удобрений и ядохимикатов.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Грант предоставляется главе крестьянского (фермерского) хозяйства только один раз.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Заявитель, получивший Грант, не может получить государственную поддержку по иным мероприятиям Постановления в отношении объектов, приобретенных за счет средств Гранта.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Основанием для перечисления Гранта является соглашение о предоставлении Гранта (далее - Соглашение), заключенное между Департаментом и Заявителем.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Соглашение заключается по форме, установленной Департаментом финансов автономного округа.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Соглашение должно содержать следующие положения: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использования Гранта;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расходов;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показателей результативности использования Гранта;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Заявителя на осуществление Департаментом и органом государственного финансового контроля автономного округа проверок соблюдения целей, условий и Порядка;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сторон, сроки предоставления, размер Гранта;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контроля соблюдения Заявителем условий Соглашения;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контрольных мероприятий;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сроки и состав отчетности Заявителя об использовании Гранта;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размера штрафных санкций.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осуществления расходов, источником финансового обеспечения которых являются неиспользованные в отчетном финансовом году остатки средств Гранта,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Департамент формирует единый список Заявителей на текущий год в хронологической последовательности согласно регистрации заявок по дате поступления.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Условия предоставления Гранта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2.1. 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-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Федерации, продолжительность деятельности которого не превышает 24 месяцев со дня его регистрации, с приложением документов, подтверждающих соблюдение следующих условий: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ранее не являлся получателем: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гранта на создание и развитие крестьянского (фермерского) хозяйства;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гранта на развитие семейных животноводческих ферм;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средств финансовой поддержки субсидии или гранта на организацию начального этапа предпринимательской деятельности, полученных до регистрации хозяйства, главой которого является Заявитель.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указанные в </w:t>
      </w:r>
      <w:hyperlink w:anchor="Par55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настоящего подпункта единовременные выплаты Заявитель получает для создания и развития хозяйства, указанного в </w:t>
      </w:r>
      <w:hyperlink w:anchor="Par58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настоящего пункта, и не допускает финансирования за счет указанных выплат одних и тех же затрат, то Заявитель может подать заявку на участие в конкурсном отборе;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сельского поселения автономного округа;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3)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хозяйство, главой которого является Заявитель, подпадает под критерии микропредприятия, установленные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имеет бизнес-план по созданию и развитию хозяйства по направлению деятельности (отрасли), определенной государственной программой, увеличению объема реализуемой сельскохозяйственной продукции;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представляет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обязуется оплачивать за счет собственных средств не менее 10 процентов стоимости каждого наименования приобретений, в том числе заемных, указанных в плане расходов;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обязуется использовать Грант в форме субсидий в течение 18 месяцев с даты заключения соглашения о его предоставлении и использовать имущество, закупаемое за счет гранта в форме субсидий исключительно на развитие хозяйства;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планирует создание не менее одного постоянного рабочего места;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имеет на праве собственности и (или) аренды земельный (земельные) участок (участки) с правом пользования, соответствующим направлению деятельности бизнес-плана по созданию и развитию хозяйства (за исключением Заявителей, план расходов которых содержит приобретение земельных участков из состава земель сельскохозяйственного назначения). Срок аренды земельного (земельных) участка (участков), определенных настоящим подпунктом, составляет не менее 5 лет, по отношению к периоду с 1 января финансового года, в котором Заявителем представлена заявка на участие в конкурсе;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обязуется осуществлять деятельность хозяйства в течение не менее 5 лет после получения гранта;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соглашается на передачу и обработку его персональных данных в соответствии с законодательством Российской Федерации.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2.2. Требования, которым должны соответствовать Заявители на 15 число месяца, предшествующего месяцу регистрации заявления о предоставлении Гранта: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Порядком.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Правила предоставления Гранта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Департамент объявляет конкурс на отбор участников по мероприятию предоставления Гранта (далее - Конкурс).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3.2. Срок проведения Конкурса, его этапы, форма заявки для участия в Конкурсе и срок ее представления в конкурсную комиссию утверждаются Департаментом.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3.3. Заявители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заявку для участия в Конкурсе, по форме, установленной Департаментом (далее - заявка);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доверенность на право подачи заявки от имени Заявителя, в случае если заявка подается не Заявителем, а его представителем;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диплома главы крестьянского (фермерского) хозяйства о получении специального или высшего сельскохозяйственного образования, и (или) документ, подтверждающий получение дополнительного профессионального образования по сельскохозяйственной специальности, и (или) копию трудовой книжки, подтверждающую наличие трудового стажа в сельском хозяйстве;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 и (или) копии документов, подтверждающие наличие денежных средств в размере не менее 10 процентов от стоимости приобретаемого имущества, выполняемых работ, оказываемых услуг на создание и развитие крестьянского (фермерского) хозяйства, в том числе заемных (выписка из банковского счета (счетов) Заявителя, договоры о предоставлении Заявителю кредитов (займов) на реализацию бизнес-плана по созданию и развитию крестьянского (фермерского) хозяйства и (или) иные документы, предусмотренные действующим законодательством);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бизнес-план по созданию и развитию крестьянского (фермерского) хозяйства по форме, утвержденной Департаментом;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план расходов по форме, утвержденной Департаментом.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самостоятельно представить иные документы.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Департамент самостоятельно в течение 1 рабочего дня при необходимости запрашивает в порядке межведомственного информационного взаимодействия, установленного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по необходимости следующие документы: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отсутствии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Порядком;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отсутствие выплат средств финансовой поддержки субсидии или гранта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выписку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книги, подтверждающую ведение личного подсобного хозяйства;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праве аренды или собственности на земельные участки;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праве аренды или собственности на сельскохозяйственные объекты капитального строительства;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могут быть представлены Получателем самостоятельно в день подачи заявления на предоставление Гранта.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Требовать от Заявителя представления документов (копий документов), не </w:t>
      </w:r>
      <w:proofErr w:type="gramStart"/>
      <w:r>
        <w:rPr>
          <w:rFonts w:ascii="Calibri" w:hAnsi="Calibri" w:cs="Calibri"/>
        </w:rPr>
        <w:t>предусмотренных Порядком</w:t>
      </w:r>
      <w:proofErr w:type="gramEnd"/>
      <w:r>
        <w:rPr>
          <w:rFonts w:ascii="Calibri" w:hAnsi="Calibri" w:cs="Calibri"/>
        </w:rPr>
        <w:t>, не допускается.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Документы (копии документов), предусмотренные в </w:t>
      </w:r>
      <w:hyperlink w:anchor="Par76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>
        <w:rPr>
          <w:rFonts w:ascii="Calibri" w:hAnsi="Calibri" w:cs="Calibri"/>
        </w:rPr>
        <w:t>Рознина</w:t>
      </w:r>
      <w:proofErr w:type="spellEnd"/>
      <w:r>
        <w:rPr>
          <w:rFonts w:ascii="Calibri" w:hAnsi="Calibri" w:cs="Calibri"/>
        </w:rPr>
        <w:t>, дом 64, одним из следующих способов: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через многофункциональный центр предоставления государственных и муниципальных услуг (далее - многофункциональный центр) -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Гранта, об отказе в его предоставлении и оформляет такое решение протоколом.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и состав комиссии определяются в соответствии с приложением 27 к Постановлению.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3.8.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 течение 5 рабочих дней с даты получения Соглашения подписывает и представляет его в Департамент лично или почтовым отправлением. Заявитель, не представивший в Департамент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Гранта.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(далее - Уведомление).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направляется (вручается) Получателю одним из следующих способов: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почтовым отправлением;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вручается лично при обращении в Департамент.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Основаниями для отказа в предоставлении Гранта являются: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лимитов, предусмотренных для предоставления Гранта в бюджете автономного округа;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срока предоставления документов, установленных </w:t>
      </w:r>
      <w:hyperlink w:anchor="Par75" w:history="1">
        <w:r>
          <w:rPr>
            <w:rFonts w:ascii="Calibri" w:hAnsi="Calibri" w:cs="Calibri"/>
            <w:color w:val="0000FF"/>
          </w:rPr>
          <w:t>пунктами 3.2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 xml:space="preserve"> Порядка;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Заявителем документов,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пунктах 3.3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 xml:space="preserve"> Порядка;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документов с нарушением требований к их оформлению;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представленных документах сведений, не соответствующих действительности;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требованиям, установленным </w:t>
      </w:r>
      <w:hyperlink w:anchor="Par17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, </w:t>
      </w:r>
      <w:hyperlink w:anchor="Par51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Порядка.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Перечисление Гранта осуществляется в порядке, сроки и на счета, установленные Соглашением.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Каждый заявитель представляет в Департамент отчеты по формам и в сроки, установленные Соглашением.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Правила возврата Гранта в случае нарушения условий,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установленных при его предоставлении</w:t>
      </w: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484F" w:rsidRDefault="0083484F" w:rsidP="00834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случае выявления нецелевого использования Гранта, представления Заявителем недостоверных сведений, ненадлежащего исполнения Соглашения: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Департамент в течение 5 рабочих дней с момента выявления нецелевого использования Гранта, представления Заявителем недостоверных сведений, ненадлежащего исполнения Соглашения направляет Заявителю письменное уведомление о необходимости его возврата (далее - уведомление).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Заявитель в течение 30 рабочих дней со дня получения уведомления обязан выполнить требования, указанные в нем.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выявления факта недостижения показателей результативности использования Гранта, установленных Соглашением: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Департамент в течение 5 рабочих дней направляет Заявителю письменное требование о необходимости уплаты штрафов (далее - требование) с указанием сроков оплаты.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суммы штрафа осуществляется по форме, установленной Соглашением.</w:t>
      </w:r>
    </w:p>
    <w:p w:rsidR="0083484F" w:rsidRDefault="0083484F" w:rsidP="008348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6E3AE2" w:rsidRDefault="006E3AE2">
      <w:bookmarkStart w:id="8" w:name="_GoBack"/>
      <w:bookmarkEnd w:id="8"/>
    </w:p>
    <w:sectPr w:rsidR="006E3AE2" w:rsidSect="006D70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4F"/>
    <w:rsid w:val="006E3AE2"/>
    <w:rsid w:val="008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A851-9C74-4B79-9B96-178E6AC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853898A7D52BB088C3857D62C6B4A822DA221BEF536DC8E9E5C08D04B8C41CD644141466C31123A2EA432F7A2302E7218E35D778DA61AAE625A06WCa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853898A7D52BB088C265AC0403C458724FD29BEF73D8BD2CE5A5F8F1B8A149F241F18072B22123B39A035F5WAa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853898A7D52BB088C265AC0403C458725FC2BB5F73D8BD2CE5A5F8F1B8A149F241F18072B22123B39A035F5WAa0L" TargetMode="External"/><Relationship Id="rId5" Type="http://schemas.openxmlformats.org/officeDocument/2006/relationships/hyperlink" Target="consultantplus://offline/ref=76D853898A7D52BB088C3857D62C6B4A822DA221BEF536DC8E9E5C08D04B8C41CD644141466C31123B24A032F3A2302E7218E35D778DA61AAE625A06WCa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D853898A7D52BB088C3857D62C6B4A822DA221BDFD30DA8A9D5C08D04B8C41CD644141466C31123A25AA33F5A2302E7218E35D778DA61AAE625A06WCaD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2994</Words>
  <Characters>17072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Приложение 9</vt:lpstr>
      <vt:lpstr>    I. Общие положения</vt:lpstr>
      <vt:lpstr>    II. Условия предоставления Гранта</vt:lpstr>
      <vt:lpstr>    III. Правила предоставления Гранта</vt:lpstr>
      <vt:lpstr>    IV. Правила возврата Гранта в случае нарушения условий,</vt:lpstr>
    </vt:vector>
  </TitlesOfParts>
  <Company/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2019-11-23T11:26:00Z</dcterms:created>
  <dcterms:modified xsi:type="dcterms:W3CDTF">2019-11-23T11:27:00Z</dcterms:modified>
</cp:coreProperties>
</file>